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50" w:rsidRPr="00176150" w:rsidRDefault="00176150" w:rsidP="009515C9">
      <w:pPr>
        <w:bidi/>
        <w:spacing w:after="0"/>
        <w:jc w:val="center"/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</w:pP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 xml:space="preserve"> بسمه تعالی</w:t>
      </w:r>
    </w:p>
    <w:p w:rsidR="00176150" w:rsidRPr="00176150" w:rsidRDefault="00176150" w:rsidP="009515C9">
      <w:pPr>
        <w:bidi/>
        <w:spacing w:after="0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17615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اولو</w:t>
      </w: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ت‌ها</w:t>
      </w: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پژوهش</w:t>
      </w: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اداره کل فرهنگ و ارشاد اسلام</w:t>
      </w: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استان قم در سال 139</w:t>
      </w:r>
      <w:r w:rsidRPr="0017615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6</w:t>
      </w:r>
    </w:p>
    <w:p w:rsidR="00176150" w:rsidRPr="00176150" w:rsidRDefault="00176150" w:rsidP="009515C9">
      <w:pPr>
        <w:bidi/>
        <w:spacing w:after="0"/>
        <w:rPr>
          <w:rFonts w:ascii="IranNastaliq" w:eastAsia="Times New Roman" w:hAnsi="IranNastaliq" w:cs="IranNastaliq"/>
          <w:b/>
          <w:bCs/>
          <w:sz w:val="28"/>
          <w:szCs w:val="28"/>
          <w:rtl/>
        </w:rPr>
      </w:pP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با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عنا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خداوند متعال بد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ن‌وس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له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از کل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پژوهشگران و اند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شمندان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عرصه فرهنگ دعوت</w:t>
      </w:r>
      <w:r w:rsidRPr="00176150">
        <w:rPr>
          <w:rFonts w:ascii="IranNastaliq" w:eastAsia="Times New Roman" w:hAnsi="IranNastaliq" w:cs="IranNastaliq"/>
          <w:b/>
          <w:bCs/>
          <w:sz w:val="32"/>
          <w:szCs w:val="32"/>
          <w:rtl/>
        </w:rPr>
        <w:t xml:space="preserve">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م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شود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شنهاد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طرح‌ها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پژوهش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خود را در قالب سرفصل‌ها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ز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حداکثر تا 15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شهر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ورماه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به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بخش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پژوهش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اداره کل فرهنگ و ارشاد اسلام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استان قم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واقع در خیابان ساحلی جنب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ثبت‌احوال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ارسال نما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ند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:</w:t>
      </w:r>
    </w:p>
    <w:p w:rsidR="00176150" w:rsidRDefault="00176150" w:rsidP="009515C9">
      <w:pPr>
        <w:bidi/>
        <w:spacing w:after="0"/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</w:pP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1-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مشخصات و سوابق آموزش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پژوهش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مجر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به همراه نشان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و تلفن.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2-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مقدمه شامل مسئله و اهداف پژوهش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3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-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چارچوب نظر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و پ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نه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تحق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ق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4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- 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توض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ح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در خصوص روش تحق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ق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5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-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ارائه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تعار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ف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عمل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ات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متغ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رها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اصل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پژوهش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6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-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تخم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زمان و بودجه کل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طرح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.                     </w:t>
      </w:r>
    </w:p>
    <w:p w:rsidR="00176150" w:rsidRDefault="00176150" w:rsidP="009515C9">
      <w:pPr>
        <w:bidi/>
        <w:spacing w:after="0"/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</w:pP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                                   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پ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شنهاده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طرح در سا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اداره کل موجود است وبر اساس 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پ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شنهاده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م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توان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عمل 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اقدام فرما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یی</w:t>
      </w:r>
      <w:r w:rsidRPr="00176150"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.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سبک‌زندگ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شهروندان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«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موضوعات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فرعی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مثل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رفتار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فرزندان،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الگوی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مصرف،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پوشش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وآرایش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...»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آسیب‌ها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معضلات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اجتماعی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3.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میزان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علل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افزایش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طلاق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4.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آسیب‌ها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معضلات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اجتماعی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مناطق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حاشیه‌نشین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5.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راه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ک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ارها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عمل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تقویت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بنیان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خانواده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6.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سیاست‌گذاری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ترویج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شهروندی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7.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تغییرات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8.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جهت‌گ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ر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ی‌</w:t>
      </w:r>
      <w:r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ها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ارزشی،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نگرشی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رفتاری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9.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شناخت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گروه‌ها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ی‌</w:t>
      </w:r>
      <w:r>
        <w:rPr>
          <w:rFonts w:ascii="IranNastaliq" w:eastAsia="Times New Roman" w:hAnsi="IranNastaliq" w:cs="IranNastaliq" w:hint="eastAsia"/>
          <w:b/>
          <w:bCs/>
          <w:sz w:val="28"/>
          <w:szCs w:val="28"/>
          <w:rtl/>
        </w:rPr>
        <w:t>مرجع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نقش‌آن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شکل‌گیری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(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اجتماع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،د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،مل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...)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جوانان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10.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سهم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بخش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اقتصاد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lastRenderedPageBreak/>
        <w:t>11.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ظرفیت‌های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ارائه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هفته‌های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سایر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کشورها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12.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سرانه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مطالعه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مردم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13.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تحلیل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تطبیقی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شاخص‌های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14.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مطالعه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جمعیت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شناختی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هنرمندان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15.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میزان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استقبال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مخاطبین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سینما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راهکارهای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چگونگی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افزایش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رغبت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آن‌ها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16.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ارز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اب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عمل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ک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کانون‌های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مساجد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17.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میزان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اثربخشی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اثرگذاری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جشنواره‌های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توسعه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استان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18.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راهکارهای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اشتغال‌زایی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حوزه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19.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میزان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اثربخشی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اثرگذاری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فعالیت‌های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قرآنی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مؤسسات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مراکز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قرآنی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موردحمایت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اداره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20.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وضعیت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توزیع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فروش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بازی‌های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رایانه‌ای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غیرمجاز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21.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آثار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مصرف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محصولات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(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مجاز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غیرمجاز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)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هو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(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اجتماع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-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...)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مردم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22.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راهکارهای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ترویج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نماز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بین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اقشار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نوجوان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جوان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جامعه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23.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راهکارهای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اشاعه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فرهنگ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نماز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اول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وقت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از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طریق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هنر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P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/>
          <w:b/>
          <w:bCs/>
          <w:sz w:val="28"/>
          <w:szCs w:val="28"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24.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میزان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علل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گرایش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تهیه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توزیع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محصولات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مواد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مخدر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</w:p>
    <w:p w:rsidR="00176150" w:rsidRDefault="00176150" w:rsidP="009515C9">
      <w:pPr>
        <w:bidi/>
        <w:spacing w:after="0"/>
        <w:ind w:left="360"/>
        <w:contextualSpacing/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</w:pP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>25.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ab/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بررس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زان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و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نوع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اعت</w:t>
      </w: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ی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به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مواد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مخدر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در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استان</w:t>
      </w:r>
      <w:r w:rsidRPr="00176150">
        <w:rPr>
          <w:rFonts w:ascii="IranNastaliq" w:eastAsia="Times New Roman" w:hAnsi="IranNastaliq" w:cs="IranNastaliq"/>
          <w:b/>
          <w:bCs/>
          <w:sz w:val="28"/>
          <w:szCs w:val="28"/>
          <w:rtl/>
        </w:rPr>
        <w:t xml:space="preserve"> </w:t>
      </w:r>
      <w:r w:rsidRPr="00176150"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قم</w:t>
      </w:r>
      <w:bookmarkStart w:id="0" w:name="_GoBack"/>
      <w:bookmarkEnd w:id="0"/>
    </w:p>
    <w:p w:rsidR="00176150" w:rsidRDefault="00176150" w:rsidP="009515C9">
      <w:pPr>
        <w:bidi/>
        <w:spacing w:after="0"/>
        <w:ind w:left="360"/>
        <w:contextualSpacing/>
        <w:jc w:val="center"/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</w:pP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>بخش پژوهشی اداره کل فرهنگ وارشاد اسلامی قم</w:t>
      </w:r>
    </w:p>
    <w:p w:rsidR="00176150" w:rsidRPr="00176150" w:rsidRDefault="00176150" w:rsidP="009515C9">
      <w:pPr>
        <w:bidi/>
        <w:spacing w:after="0"/>
        <w:ind w:left="360"/>
        <w:contextualSpacing/>
        <w:jc w:val="center"/>
        <w:rPr>
          <w:rFonts w:ascii="IranNastaliq" w:eastAsia="Times New Roman" w:hAnsi="IranNastaliq" w:cs="IranNastaliq"/>
          <w:b/>
          <w:bCs/>
          <w:sz w:val="28"/>
          <w:szCs w:val="28"/>
          <w:rtl/>
        </w:rPr>
      </w:pPr>
      <w:r>
        <w:rPr>
          <w:rFonts w:ascii="IranNastaliq" w:eastAsia="Times New Roman" w:hAnsi="IranNastaliq" w:cs="IranNastaliq" w:hint="cs"/>
          <w:b/>
          <w:bCs/>
          <w:sz w:val="28"/>
          <w:szCs w:val="28"/>
          <w:rtl/>
        </w:rPr>
        <w:t xml:space="preserve"> آدرس: خیابان شهید لواسانی(ساحلی) جنب ثبت احوال ساختمان اداره کل فرهنگ وارشاد اسلامی تلفن: 37706568</w:t>
      </w:r>
    </w:p>
    <w:sectPr w:rsidR="00176150" w:rsidRPr="00176150" w:rsidSect="009515C9">
      <w:pgSz w:w="12240" w:h="15840" w:code="1"/>
      <w:pgMar w:top="1134" w:right="1134" w:bottom="1134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3C5"/>
    <w:multiLevelType w:val="hybridMultilevel"/>
    <w:tmpl w:val="EE5ABC66"/>
    <w:lvl w:ilvl="0" w:tplc="8EDE5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41B87"/>
    <w:multiLevelType w:val="hybridMultilevel"/>
    <w:tmpl w:val="38243C60"/>
    <w:lvl w:ilvl="0" w:tplc="14926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52"/>
    <w:rsid w:val="00083C1A"/>
    <w:rsid w:val="00176150"/>
    <w:rsid w:val="007739F6"/>
    <w:rsid w:val="009515C9"/>
    <w:rsid w:val="00992952"/>
    <w:rsid w:val="009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مسیح علیپور</dc:creator>
  <cp:lastModifiedBy>مسیح علیپور</cp:lastModifiedBy>
  <cp:revision>5</cp:revision>
  <cp:lastPrinted>2017-08-09T06:33:00Z</cp:lastPrinted>
  <dcterms:created xsi:type="dcterms:W3CDTF">2017-08-09T06:22:00Z</dcterms:created>
  <dcterms:modified xsi:type="dcterms:W3CDTF">2017-08-09T06:35:00Z</dcterms:modified>
</cp:coreProperties>
</file>